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eastAsia="ja-JP"/>
        </w:rPr>
      </w:pPr>
      <w:r>
        <w:rPr>
          <w:rFonts/>
          <w:b w:val="true"/>
          <w:lang w:eastAsia="ja-JP"/>
        </w:rPr>
        <w:t xml:space="preserve">CAT</w:t>
      </w:r>
      <w:r w:rsidRPr="00195579">
        <w:rPr>
          <w:rFonts/>
          <w:b/>
          <w:bCs/>
          <w:vertAlign w:val="superscript"/>
          <w:lang w:eastAsia="ja-JP"/>
        </w:rPr>
        <w:t xml:space="preserve">®</w:t>
      </w:r>
      <w:r>
        <w:rPr>
          <w:rFonts/>
          <w:b w:val="true"/>
          <w:lang w:eastAsia="ja-JP"/>
        </w:rPr>
        <w:t xml:space="preserve">機械のソフトウェアアップデートプロセス</w:t>
      </w:r>
      <w:r>
        <w:rPr>
          <w:rFonts/>
          <w:b w:val="true"/>
          <w:lang w:eastAsia="ja-JP"/>
        </w:rPr>
        <w:t xml:space="preserve"> </w:t>
      </w:r>
    </w:p>
    <w:p w14:paraId="7FFEA945" w14:textId="2A156904" w:rsidR="00195579" w:rsidRPr="00195579" w:rsidRDefault="00195579" w:rsidP="00195579">
      <w:r>
        <w:rPr>
          <w:rFonts/>
          <w:lang w:eastAsia="ja-JP"/>
        </w:rPr>
        <w:t xml:space="preserve">CaterpillarおよびCat®ディーラは、ビジネスパートナーとして、優れたテクノロジーと最高品質のサービスをお客様に提供することに尽力しています。</w:t>
      </w:r>
      <w:r>
        <w:rPr>
          <w:rFonts/>
          <w:lang w:eastAsia="ja-JP"/>
        </w:rPr>
        <w:t xml:space="preserve">お客様の製品構成およびサービスの選択に応じて、当社のリモートサービスにより、次のようなさまざまな機能をご利用いただけます。</w:t>
      </w:r>
    </w:p>
    <w:p w14:paraId="67B0B6CC" w14:textId="5A95AD69" w:rsidR="00195579" w:rsidRPr="00195579" w:rsidRDefault="00195579" w:rsidP="00195579">
      <w:pPr>
        <w:numPr>
          <w:ilvl w:val="0"/>
          <w:numId w:val="1"/>
        </w:numPr>
      </w:pPr>
      <w:r>
        <w:rPr>
          <w:rFonts/>
          <w:lang w:eastAsia="ja-JP"/>
        </w:rPr>
        <w:t xml:space="preserve">リモートソフトウェアアップデート。ファイルを製品に直接送信することで、対象となるProduct Link™テレマティクス、CAT ECM（電子制御モジュール）、および機械に搭載されたその他のソフトウェアを遠隔から無線通信（OTA）でアップデートできます</w:t>
      </w:r>
    </w:p>
    <w:p w14:paraId="01619E55" w14:textId="77777777" w:rsidR="00195579" w:rsidRPr="00195579" w:rsidRDefault="00195579" w:rsidP="00195579">
      <w:pPr>
        <w:numPr>
          <w:ilvl w:val="0"/>
          <w:numId w:val="1"/>
        </w:numPr>
      </w:pPr>
      <w:r>
        <w:rPr>
          <w:rFonts/>
          <w:lang w:eastAsia="ja-JP"/>
        </w:rPr>
        <w:t xml:space="preserve">リモート診断</w:t>
      </w:r>
    </w:p>
    <w:p w14:paraId="1903DDC6" w14:textId="77777777" w:rsidR="00195579" w:rsidRPr="00195579" w:rsidRDefault="00195579" w:rsidP="00195579">
      <w:pPr>
        <w:numPr>
          <w:ilvl w:val="0"/>
          <w:numId w:val="1"/>
        </w:numPr>
      </w:pPr>
      <w:r>
        <w:rPr>
          <w:rFonts/>
          <w:lang w:eastAsia="ja-JP"/>
        </w:rPr>
        <w:t xml:space="preserve">ローカルサービス（Wi-Fiの通信可能範囲内にある機械の整備を実施可能）</w:t>
      </w:r>
    </w:p>
    <w:p w14:paraId="445FC5EE" w14:textId="3B2A8CBB" w:rsidR="00195579" w:rsidRPr="00195579" w:rsidRDefault="00195579" w:rsidP="00195579">
      <w:r>
        <w:rPr>
          <w:rFonts/>
          <w:lang w:eastAsia="ja-JP"/>
        </w:rPr>
        <w:t xml:space="preserve">本書では、これらのリモートソフトウェアアップデートを管理するための当社の運用について説明します。</w:t>
      </w:r>
      <w:r>
        <w:rPr>
          <w:rFonts/>
          <w:lang w:eastAsia="ja-JP"/>
        </w:rPr>
        <w:t xml:space="preserve">リモートソフトウェアアップデートには、Caterpillarのお客様にとって次のような価値があります。</w:t>
      </w:r>
    </w:p>
    <w:p w14:paraId="29390800" w14:textId="77777777" w:rsidR="00195579" w:rsidRPr="00195579" w:rsidRDefault="00195579" w:rsidP="00195579">
      <w:pPr>
        <w:numPr>
          <w:ilvl w:val="0"/>
          <w:numId w:val="2"/>
        </w:numPr>
      </w:pPr>
      <w:r>
        <w:rPr>
          <w:rFonts/>
          <w:lang w:eastAsia="ja-JP"/>
        </w:rPr>
        <w:t xml:space="preserve">機械に直接アクセスするための移動の必要性を減らせる</w:t>
      </w:r>
    </w:p>
    <w:p w14:paraId="0BF4C391" w14:textId="77777777" w:rsidR="00195579" w:rsidRPr="00195579" w:rsidRDefault="00195579" w:rsidP="00195579">
      <w:pPr>
        <w:numPr>
          <w:ilvl w:val="0"/>
          <w:numId w:val="2"/>
        </w:numPr>
      </w:pPr>
      <w:r>
        <w:rPr>
          <w:rFonts/>
          <w:lang w:eastAsia="ja-JP"/>
        </w:rPr>
        <w:t xml:space="preserve">Catディーラから受けるサポートサービスに必要なコストを削減できる</w:t>
      </w:r>
    </w:p>
    <w:p w14:paraId="47FF43CD" w14:textId="77777777" w:rsidR="00195579" w:rsidRPr="00195579" w:rsidRDefault="00195579" w:rsidP="00195579">
      <w:pPr>
        <w:numPr>
          <w:ilvl w:val="0"/>
          <w:numId w:val="2"/>
        </w:numPr>
      </w:pPr>
      <w:r>
        <w:rPr>
          <w:rFonts/>
          <w:lang w:eastAsia="ja-JP"/>
        </w:rPr>
        <w:t xml:space="preserve">問題により迅速に対処することで、機械の稼働率が向上する</w:t>
      </w:r>
    </w:p>
    <w:p w14:paraId="26D8FD2B" w14:textId="3AE3F402" w:rsidR="00195579" w:rsidRPr="00195579" w:rsidRDefault="00195579" w:rsidP="00195579">
      <w:pPr>
        <w:numPr>
          <w:ilvl w:val="0"/>
          <w:numId w:val="2"/>
        </w:numPr>
      </w:pPr>
      <w:r>
        <w:rPr>
          <w:rFonts/>
          <w:lang w:eastAsia="ja-JP"/>
        </w:rPr>
        <w:t xml:space="preserve">より効率的なサポート準備、ソフトウェア</w:t>
      </w:r>
    </w:p>
    <w:p w14:paraId="6D753176" w14:textId="77777777" w:rsidR="00195579" w:rsidRPr="00195579" w:rsidRDefault="00195579" w:rsidP="007D1E5B">
      <w:pPr>
        <w:ind w:left="720"/>
      </w:pPr>
      <w:r>
        <w:rPr>
          <w:rFonts/>
          <w:lang w:eastAsia="ja-JP"/>
        </w:rPr>
        <w:t xml:space="preserve">および資産のパフォーマンス改善などに役立つ、より正確で信頼性の高いデータが提供される</w:t>
      </w:r>
      <w:r>
        <w:rPr>
          <w:rFonts/>
          <w:lang w:eastAsia="ja-JP"/>
        </w:rPr>
        <w:t xml:space="preserve"> </w:t>
      </w:r>
    </w:p>
    <w:p w14:paraId="43F769B6" w14:textId="77777777" w:rsidR="00195579" w:rsidRPr="00195579" w:rsidRDefault="00195579" w:rsidP="00195579">
      <w:r>
        <w:rPr>
          <w:rFonts/>
          <w:b w:val="true"/>
          <w:lang w:eastAsia="ja-JP"/>
        </w:rPr>
        <w:t xml:space="preserve">ソフトウェアアップデートの受け取り方法</w:t>
      </w:r>
      <w:r>
        <w:rPr>
          <w:rFonts/>
          <w:b w:val="true"/>
          <w:lang w:eastAsia="ja-JP"/>
        </w:rPr>
        <w:t xml:space="preserve"> </w:t>
      </w:r>
    </w:p>
    <w:p w14:paraId="059F500D" w14:textId="2B5A4DD3" w:rsidR="00195579" w:rsidRPr="00195579" w:rsidRDefault="00195579" w:rsidP="00195579">
      <w:r>
        <w:rPr>
          <w:rFonts/>
          <w:lang w:eastAsia="ja-JP"/>
        </w:rPr>
        <w:t xml:space="preserve">当社は、お客様の選択を尊重し、お使いのCAT機械の価値を最大限に引き出すとともに、CaterpillarおよびCatディーラとのサポート関係を最適化し、適用法令を遵守できるよう、リモートサービスを管理しています。</w:t>
      </w:r>
      <w:r>
        <w:rPr>
          <w:rFonts/>
          <w:lang w:eastAsia="ja-JP"/>
        </w:rPr>
        <w:t xml:space="preserve">基本原則として、Caterpillarは、アップデートに関する通知を合理的に実行可能な限り速やかに行うよう、誠実に努めます。</w:t>
      </w:r>
      <w:r>
        <w:rPr>
          <w:rFonts/>
          <w:lang w:eastAsia="ja-JP"/>
        </w:rPr>
        <w:t xml:space="preserve">通知は、アップデートの内容に応じて、電子メール、ディーラ、モバイルアプリケーション、またはWebベースのアプリケーションなど、さまざまな手段で行われる場合があります。</w:t>
      </w:r>
      <w:r>
        <w:rPr>
          <w:rFonts/>
          <w:lang w:eastAsia="ja-JP"/>
        </w:rPr>
        <w:t xml:space="preserve">当然ながら、お客様への通知が可能かどうかは、CaterpillarおよびCatディーラがお客様の最新の連絡先情報を受け取っているかどうかによって異なります。</w:t>
      </w:r>
      <w:r>
        <w:rPr>
          <w:rFonts/>
          <w:lang w:eastAsia="ja-JP"/>
        </w:rPr>
        <w:t xml:space="preserve">Caterpillarは、その後のアップデートの有効化、インストール、またはアクティベーションに備え、通知を行う前にソフトウェアを機械にダウンロードする場合があります。</w:t>
      </w:r>
      <w:r>
        <w:rPr>
          <w:rFonts/>
          <w:lang w:eastAsia="ja-JP"/>
        </w:rPr>
        <w:t xml:space="preserve">アップデート時の通信プロセスは通常、実施するフラッシュ更新の種類によって異なります。詳細は以下のとおりです。 </w:t>
      </w:r>
    </w:p>
    <w:p w14:paraId="4BCEA989" w14:textId="7F038628" w:rsidR="00195579" w:rsidRPr="00195579" w:rsidRDefault="00195579" w:rsidP="00195579">
      <w:r>
        <w:rPr>
          <w:rFonts/>
          <w:b w:val="true"/>
          <w:lang w:eastAsia="ja-JP"/>
        </w:rPr>
        <w:t xml:space="preserve">定期的なマイナーアップデート</w:t>
      </w:r>
      <w:r>
        <w:rPr>
          <w:rFonts/>
          <w:lang w:eastAsia="ja-JP"/>
        </w:rPr>
        <w:t xml:space="preserve">: テレマティクスデバイスに対する定期的かつ低リスクのアップデートについて、Caterpillarは上記のいずれかの手段で事前通知を行うよう誠実に努めます。また、何らかの理由で当該アップデートの受け取りを希望しない場合には、ダウンロードしないことを選択できます。</w:t>
      </w:r>
      <w:r>
        <w:rPr>
          <w:rFonts/>
          <w:lang w:eastAsia="ja-JP"/>
        </w:rPr>
        <w:t xml:space="preserve">このような定期的アップデートには、バグ修正や軽微な更新、機能拡張および性能向上が含まれます。</w:t>
      </w:r>
    </w:p>
    <w:p w14:paraId="524ACA0E" w14:textId="77777777" w:rsidR="00195579" w:rsidRPr="00195579" w:rsidRDefault="00195579" w:rsidP="00195579">
      <w:r>
        <w:rPr>
          <w:rFonts/>
          <w:b w:val="true"/>
          <w:lang w:eastAsia="ja-JP"/>
        </w:rPr>
        <w:t xml:space="preserve">メジャーアップデート</w:t>
      </w:r>
      <w:r w:rsidRPr="00195579">
        <w:rPr>
          <w:rFonts/>
          <w:lang w:eastAsia="ja-JP"/>
        </w:rPr>
        <w:t xml:space="preserve">: フラッシュアップデートによる影響がマイナーアップデートの範囲を超える場合、当該アップデートは、お客様またはサービス技術者（Catディーラのサービスメカニックである場合があります）が、承認済みのモバイルアプリケーションもしくはWebベースのアプリケーション、またはその他の手段を使用して、まず当該アップデートを有効化した後にのみインストールされます。これにより、お客様がアップデートに同意していることを確認するとともに、製品が安全に処理を実行できる状態にあることを確認します。メジャーアップデートには、以下のいずれかの事由が含まれる場合があります。 </w:t>
      </w:r>
    </w:p>
    <w:p w14:paraId="1A365A66" w14:textId="77777777" w:rsidR="00195579" w:rsidRPr="00195579" w:rsidRDefault="00195579" w:rsidP="00195579">
      <w:pPr>
        <w:numPr>
          <w:ilvl w:val="0"/>
          <w:numId w:val="3"/>
        </w:numPr>
      </w:pPr>
      <w:r>
        <w:rPr>
          <w:rFonts/>
          <w:lang w:eastAsia="ja-JP"/>
        </w:rPr>
        <w:t xml:space="preserve">制御ECM（エンジン、トランスミッションなど）に新しいソフトウェアを書き込むこと</w:t>
      </w:r>
    </w:p>
    <w:p w14:paraId="3236B054" w14:textId="77777777" w:rsidR="00195579" w:rsidRPr="00195579" w:rsidRDefault="00195579" w:rsidP="00195579">
      <w:pPr>
        <w:numPr>
          <w:ilvl w:val="0"/>
          <w:numId w:val="3"/>
        </w:numPr>
      </w:pPr>
      <w:r>
        <w:rPr>
          <w:rFonts/>
          <w:lang w:eastAsia="ja-JP"/>
        </w:rPr>
        <w:t xml:space="preserve">制御ECMの構成パラメータをリモートで変更すること</w:t>
      </w:r>
    </w:p>
    <w:p w14:paraId="771765F9" w14:textId="77777777" w:rsidR="00195579" w:rsidRPr="00195579" w:rsidRDefault="00195579" w:rsidP="00195579">
      <w:pPr>
        <w:numPr>
          <w:ilvl w:val="0"/>
          <w:numId w:val="3"/>
        </w:numPr>
      </w:pPr>
      <w:r>
        <w:rPr>
          <w:rFonts/>
          <w:lang w:eastAsia="ja-JP"/>
        </w:rPr>
        <w:t xml:space="preserve">機能またはソフトウェア有効化アタッチメントを有効にすること</w:t>
      </w:r>
    </w:p>
    <w:p w14:paraId="57AFEB08" w14:textId="77777777" w:rsidR="00195579" w:rsidRPr="00195579" w:rsidRDefault="00195579" w:rsidP="00195579">
      <w:pPr>
        <w:numPr>
          <w:ilvl w:val="0"/>
          <w:numId w:val="3"/>
        </w:numPr>
      </w:pPr>
      <w:r>
        <w:rPr>
          <w:rFonts/>
          <w:lang w:eastAsia="ja-JP"/>
        </w:rPr>
        <w:t xml:space="preserve">お客様に追加費用を負担させる、または収集対象となる個人情報に重大な変更をもたらすサブスクリプションレベルの変更</w:t>
      </w:r>
    </w:p>
    <w:p w14:paraId="12D86933" w14:textId="77777777" w:rsidR="00195579" w:rsidRPr="00195579" w:rsidRDefault="00195579" w:rsidP="00195579">
      <w:pPr>
        <w:numPr>
          <w:ilvl w:val="0"/>
          <w:numId w:val="3"/>
        </w:numPr>
      </w:pPr>
      <w:r>
        <w:rPr>
          <w:rFonts/>
          <w:lang w:eastAsia="ja-JP"/>
        </w:rPr>
        <w:t xml:space="preserve">テレマティクスファームウェアの変更、システム制御モジュールのリモート設定可能な要素の変更など、資産に影響を及ぼす、または当該資産もしくはシステムの性能を変える可能性があるテレマティクスソフトウェアのメジャーアップデート</w:t>
      </w:r>
    </w:p>
    <w:p w14:paraId="13489475" w14:textId="0DFA36B4" w:rsidR="00195579" w:rsidRPr="00195579" w:rsidRDefault="00195579" w:rsidP="00195579">
      <w:r>
        <w:rPr>
          <w:rFonts/>
          <w:b w:val="true"/>
          <w:lang w:eastAsia="ja-JP"/>
        </w:rPr>
        <w:t xml:space="preserve">セキュリティまたは安全な運用を向上させるアップデート:</w:t>
      </w:r>
      <w:r>
        <w:rPr>
          <w:rFonts/>
          <w:lang w:eastAsia="ja-JP"/>
        </w:rPr>
        <w:t xml:space="preserve"> 機械またはシステムのセキュリティもしくは安全な運用を改善するためにアップデートが必要であると判断された場合、アップデートが完了するまでお客様に通知されないことがあります。</w:t>
      </w:r>
    </w:p>
    <w:p w14:paraId="6274188E" w14:textId="77777777" w:rsidR="00195579" w:rsidRPr="00195579" w:rsidRDefault="00195579" w:rsidP="00195579">
      <w:r>
        <w:rPr>
          <w:rFonts/>
          <w:b w:val="true"/>
          <w:lang w:eastAsia="ja-JP"/>
        </w:rPr>
        <w:t xml:space="preserve">通信に関するアップデート:</w:t>
      </w:r>
      <w:r w:rsidRPr="00195579">
        <w:rPr>
          <w:rFonts/>
          <w:lang w:eastAsia="ja-JP"/>
        </w:rPr>
        <w:t xml:space="preserve"> Caterpillarおよび当社の携帯電話ネットワーク事業者は、業界慣行に従い、機械の運用に影響せず、かつ上記の他のカテゴリに該当するほどの重要性を持たないパラメータを、事前通知なしに、またはProduct Link™のドキュメントに記載された方法で、リモート更新する場合があります。これには、お客様のProduct Link™テレマティクスのSIM（加入者識別モジュール）に保存されているネットワークローミングリスト、データ特性、その他のネットワーク情報が含まれます。 </w:t>
      </w:r>
    </w:p>
    <w:p w14:paraId="1ADEE770" w14:textId="77777777" w:rsidR="00195579" w:rsidRPr="00195579" w:rsidRDefault="00195579" w:rsidP="00195579">
      <w:r>
        <w:rPr>
          <w:rFonts/>
          <w:b w:val="true"/>
          <w:lang w:eastAsia="ja-JP"/>
        </w:rPr>
        <w:t xml:space="preserve">Caterpillarコネクテッド製品データ原則およびデータガバナンス方針</w:t>
      </w:r>
    </w:p>
    <w:p w14:paraId="74618415" w14:textId="3ABD0D1F" w:rsidR="00195579" w:rsidRPr="00195579" w:rsidRDefault="00195579" w:rsidP="00195579">
      <w:r>
        <w:rPr>
          <w:rFonts/>
          <w:lang w:eastAsia="ja-JP"/>
        </w:rPr>
        <w:t xml:space="preserve">リモートサービスを含む当社のデジタル技術およびサービスの多くは、製品の接続と、その接続によって可能となるデータおよび無線経由のアクセスに依存しています。</w:t>
      </w:r>
      <w:r>
        <w:rPr>
          <w:rFonts/>
          <w:lang w:eastAsia="ja-JP"/>
        </w:rPr>
        <w:t xml:space="preserve">コネクテッド製品データの収集および管理に関する当社の運用についての詳細は、Caterpillarグローバルデータプライバシーに関する声明、お客様が契約するデジタル提供サービスに適用される個人情報保護方針、およびCaterpillarデータガバナンス方針をご確認ください。</w:t>
      </w:r>
      <w:r>
        <w:rPr>
          <w:rFonts/>
          <w:lang w:eastAsia="ja-JP"/>
        </w:rPr>
        <w:t xml:space="preserve">これらの文書では、当社が収集する情報、その収集および利用方法、ならびにリモートサービスとの関係を含むその他の運用について詳しく説明しています。</w:t>
      </w:r>
    </w:p>
    <w:p w14:paraId="5C151602" w14:textId="77777777" w:rsidR="00195579" w:rsidRPr="00195579" w:rsidRDefault="00195579" w:rsidP="00195579">
      <w:r>
        <w:rPr>
          <w:rFonts/>
          <w:b w:val="true"/>
          <w:lang w:eastAsia="ja-JP"/>
        </w:rPr>
        <w:t xml:space="preserve">詳細情報について</w:t>
      </w:r>
    </w:p>
    <w:p w14:paraId="6B068B18" w14:textId="63AA0AC4" w:rsidR="00A4652C" w:rsidRPr="00195579" w:rsidRDefault="00A4652C" w:rsidP="00195579">
      <w:r>
        <w:rPr>
          <w:rFonts/>
          <w:lang w:eastAsia="ja-JP"/>
        </w:rPr>
        <w:t xml:space="preserve">リモートサービスの詳細（そのメリット、仕組み、およびお客様の機械で利用可能なアップデートなど）については、CATディーラにご相談ください。</w:t>
      </w:r>
      <w:r>
        <w:rPr>
          <w:rFonts/>
          <w:lang w:eastAsia="ja-JP"/>
        </w:rPr>
        <w:t xml:space="preserve">CATディーラは、こちらのディーラ検索ツール （</w:t>
      </w:r>
      <w:hyperlink r:id="rId8" w:history="1">
        <w:r>
          <w:rPr>
            <w:rStyle w:val="Hyperlink"/>
            <w:rFonts/>
            <w:lang w:eastAsia="ja-JP"/>
          </w:rPr>
          <w:t xml:space="preserve">https://www.cat.com/en_US/support/dealer-locator.html</w:t>
        </w:r>
      </w:hyperlink>
      <w:r>
        <w:rPr>
          <w:rFonts/>
          <w:lang w:eastAsia="ja-JP"/>
        </w:rPr>
        <w:t xml:space="preserve">）からお探しいただけます。</w:t>
      </w:r>
      <w:r>
        <w:rPr>
          <w:rFonts/>
          <w:lang w:eastAsia="ja-JP"/>
        </w:rPr>
        <w:t xml:space="preserve">その他のリソースは、</w:t>
      </w:r>
      <w:hyperlink r:id="rId9" w:history="1">
        <w:r>
          <w:rPr>
            <w:rStyle w:val="Hyperlink"/>
            <w:rFonts/>
            <w:lang w:eastAsia="ja-JP"/>
          </w:rPr>
          <w:t xml:space="preserve">Caterpillar | Caterpillarへのお問い合わせ/サポート</w:t>
        </w:r>
      </w:hyperlink>
      <w:r>
        <w:rPr>
          <w:rFonts/>
          <w:lang w:eastAsia="ja-JP"/>
        </w:rPr>
        <w:t xml:space="preserve">まで。</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eastAsia="ja-JP"/>
        </w:rPr>
        <w:separator/>
      </w:r>
    </w:p>
  </w:endnote>
  <w:endnote w:type="continuationSeparator" w:id="0">
    <w:p w14:paraId="78AA9E6F" w14:textId="77777777" w:rsidR="002C3E8A" w:rsidRDefault="002C3E8A" w:rsidP="00195579">
      <w:pPr>
        <w:spacing w:after="0" w:line="240" w:lineRule="auto"/>
      </w:pPr>
      <w:r>
        <w:rPr>
          <w:rFonts/>
          <w:lang w:eastAsia="ja-JP"/>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eastAsia="ja-JP"/>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eastAsia="ja-JP"/>
                            </w:rPr>
                          </w:pPr>
                          <w:r>
                            <w:rPr>
                              <w:rFonts w:ascii="Aptos" w:hAnsi="Aptos" w:eastAsia="Aptos"/>
                              <w:color w:val="737373"/>
                              <w:sz w:val="20"/>
                              <w:lang w:eastAsia="ja-JP"/>
                            </w:rPr>
                            <w:t xml:space="preserve">Caterpillar: 社外秘レベル・グリーン</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eastAsia="ja-JP"/>
                      </w:rPr>
                    </w:pPr>
                    <w:r>
                      <w:rPr>
                        <w:rFonts w:ascii="Aptos" w:hAnsi="Aptos" w:eastAsia="Aptos"/>
                        <w:color w:val="737373"/>
                        <w:sz w:val="20"/>
                        <w:lang w:eastAsia="ja-JP"/>
                      </w:rPr>
                      <w:t xml:space="preserve">Caterpillar: 社外秘レベル・グリーン</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eastAsia="ja-JP"/>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eastAsia="ja-JP"/>
                            </w:rPr>
                          </w:pPr>
                          <w:r>
                            <w:rPr>
                              <w:rFonts w:ascii="Aptos" w:hAnsi="Aptos" w:eastAsia="Aptos"/>
                              <w:color w:val="737373"/>
                              <w:sz w:val="20"/>
                              <w:lang w:eastAsia="ja-JP"/>
                            </w:rPr>
                            <w:t xml:space="preserve">Caterpillar: 社外秘レベル・グリーン</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eastAsia="ja-JP"/>
                      </w:rPr>
                    </w:pPr>
                    <w:r>
                      <w:rPr>
                        <w:rFonts w:ascii="Aptos" w:hAnsi="Aptos" w:eastAsia="Aptos"/>
                        <w:color w:val="737373"/>
                        <w:sz w:val="20"/>
                        <w:lang w:eastAsia="ja-JP"/>
                      </w:rPr>
                      <w:t xml:space="preserve">Caterpillar: 社外秘レベル・グリーン</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eastAsia="ja-JP"/>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eastAsia="ja-JP"/>
                            </w:rPr>
                          </w:pPr>
                          <w:r>
                            <w:rPr>
                              <w:rFonts w:ascii="Aptos" w:hAnsi="Aptos" w:eastAsia="Aptos"/>
                              <w:color w:val="737373"/>
                              <w:sz w:val="20"/>
                              <w:lang w:eastAsia="ja-JP"/>
                            </w:rPr>
                            <w:t xml:space="preserve">Caterpillar: 社外秘レベル・グリーン</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eastAsia="ja-JP"/>
                      </w:rPr>
                    </w:pPr>
                    <w:r>
                      <w:rPr>
                        <w:rFonts w:ascii="Aptos" w:hAnsi="Aptos" w:eastAsia="Aptos"/>
                        <w:color w:val="737373"/>
                        <w:sz w:val="20"/>
                        <w:lang w:eastAsia="ja-JP"/>
                      </w:rPr>
                      <w:t xml:space="preserve">Caterpillar: 社外秘レベル・グリーン</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eastAsia="ja-JP"/>
        </w:rPr>
        <w:separator/>
      </w:r>
    </w:p>
  </w:footnote>
  <w:footnote w:type="continuationSeparator" w:id="0">
    <w:p w14:paraId="40DB5A05" w14:textId="77777777" w:rsidR="002C3E8A" w:rsidRDefault="002C3E8A" w:rsidP="00195579">
      <w:pPr>
        <w:spacing w:after="0" w:line="240" w:lineRule="auto"/>
      </w:pPr>
      <w:r>
        <w:rPr>
          <w:rFonts/>
          <w:lang w:eastAsia="ja-JP"/>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eastAsia="Symbol"/>
        <w:sz w:val="20"/>
      </w:rPr>
    </w:lvl>
    <w:lvl w:ilvl="1" w:tentative="1">
      <w:start w:val="1"/>
      <w:numFmt w:val="bullet"/>
      <w:lvlText w:val=""/>
      <w:lvlJc w:val="left"/>
      <w:pPr>
        <w:tabs>
          <w:tab w:val="num" w:pos="1440"/>
        </w:tabs>
        <w:ind w:left="1440" w:hanging="360"/>
      </w:pPr>
      <w:rPr>
        <w:rFonts w:ascii="Symbol" w:hAnsi="Symbol" w:hint="default" w:eastAsia="Symbol"/>
        <w:sz w:val="20"/>
      </w:rPr>
    </w:lvl>
    <w:lvl w:ilvl="2" w:tentative="1">
      <w:start w:val="1"/>
      <w:numFmt w:val="bullet"/>
      <w:lvlText w:val=""/>
      <w:lvlJc w:val="left"/>
      <w:pPr>
        <w:tabs>
          <w:tab w:val="num" w:pos="2160"/>
        </w:tabs>
        <w:ind w:left="2160" w:hanging="360"/>
      </w:pPr>
      <w:rPr>
        <w:rFonts w:ascii="Symbol" w:hAnsi="Symbol" w:hint="default" w:eastAsia="Symbol"/>
        <w:sz w:val="20"/>
      </w:rPr>
    </w:lvl>
    <w:lvl w:ilvl="3" w:tentative="1">
      <w:start w:val="1"/>
      <w:numFmt w:val="bullet"/>
      <w:lvlText w:val=""/>
      <w:lvlJc w:val="left"/>
      <w:pPr>
        <w:tabs>
          <w:tab w:val="num" w:pos="2880"/>
        </w:tabs>
        <w:ind w:left="2880" w:hanging="360"/>
      </w:pPr>
      <w:rPr>
        <w:rFonts w:ascii="Symbol" w:hAnsi="Symbol" w:hint="default" w:eastAsia="Symbol"/>
        <w:sz w:val="20"/>
      </w:rPr>
    </w:lvl>
    <w:lvl w:ilvl="4" w:tentative="1">
      <w:start w:val="1"/>
      <w:numFmt w:val="bullet"/>
      <w:lvlText w:val=""/>
      <w:lvlJc w:val="left"/>
      <w:pPr>
        <w:tabs>
          <w:tab w:val="num" w:pos="3600"/>
        </w:tabs>
        <w:ind w:left="3600" w:hanging="360"/>
      </w:pPr>
      <w:rPr>
        <w:rFonts w:ascii="Symbol" w:hAnsi="Symbol" w:hint="default" w:eastAsia="Symbol"/>
        <w:sz w:val="20"/>
      </w:rPr>
    </w:lvl>
    <w:lvl w:ilvl="5" w:tentative="1">
      <w:start w:val="1"/>
      <w:numFmt w:val="bullet"/>
      <w:lvlText w:val=""/>
      <w:lvlJc w:val="left"/>
      <w:pPr>
        <w:tabs>
          <w:tab w:val="num" w:pos="4320"/>
        </w:tabs>
        <w:ind w:left="4320" w:hanging="360"/>
      </w:pPr>
      <w:rPr>
        <w:rFonts w:ascii="Symbol" w:hAnsi="Symbol" w:hint="default" w:eastAsia="Symbol"/>
        <w:sz w:val="20"/>
      </w:rPr>
    </w:lvl>
    <w:lvl w:ilvl="6" w:tentative="1">
      <w:start w:val="1"/>
      <w:numFmt w:val="bullet"/>
      <w:lvlText w:val=""/>
      <w:lvlJc w:val="left"/>
      <w:pPr>
        <w:tabs>
          <w:tab w:val="num" w:pos="5040"/>
        </w:tabs>
        <w:ind w:left="5040" w:hanging="360"/>
      </w:pPr>
      <w:rPr>
        <w:rFonts w:ascii="Symbol" w:hAnsi="Symbol" w:hint="default" w:eastAsia="Symbol"/>
        <w:sz w:val="20"/>
      </w:rPr>
    </w:lvl>
    <w:lvl w:ilvl="7" w:tentative="1">
      <w:start w:val="1"/>
      <w:numFmt w:val="bullet"/>
      <w:lvlText w:val=""/>
      <w:lvlJc w:val="left"/>
      <w:pPr>
        <w:tabs>
          <w:tab w:val="num" w:pos="5760"/>
        </w:tabs>
        <w:ind w:left="5760" w:hanging="360"/>
      </w:pPr>
      <w:rPr>
        <w:rFonts w:ascii="Symbol" w:hAnsi="Symbol" w:hint="default" w:eastAsia="Symbol"/>
        <w:sz w:val="20"/>
      </w:rPr>
    </w:lvl>
    <w:lvl w:ilvl="8" w:tentative="1">
      <w:start w:val="1"/>
      <w:numFmt w:val="bullet"/>
      <w:lvlText w:val=""/>
      <w:lvlJc w:val="left"/>
      <w:pPr>
        <w:tabs>
          <w:tab w:val="num" w:pos="6480"/>
        </w:tabs>
        <w:ind w:left="6480" w:hanging="360"/>
      </w:pPr>
      <w:rPr>
        <w:rFonts w:ascii="Symbol" w:hAnsi="Symbol" w:hint="default" w:eastAsia="Symbol"/>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eastAsia="Symbol"/>
        <w:sz w:val="20"/>
      </w:rPr>
    </w:lvl>
    <w:lvl w:ilvl="1" w:tentative="1">
      <w:start w:val="1"/>
      <w:numFmt w:val="bullet"/>
      <w:lvlText w:val=""/>
      <w:lvlJc w:val="left"/>
      <w:pPr>
        <w:tabs>
          <w:tab w:val="num" w:pos="1440"/>
        </w:tabs>
        <w:ind w:left="1440" w:hanging="360"/>
      </w:pPr>
      <w:rPr>
        <w:rFonts w:ascii="Symbol" w:hAnsi="Symbol" w:hint="default" w:eastAsia="Symbol"/>
        <w:sz w:val="20"/>
      </w:rPr>
    </w:lvl>
    <w:lvl w:ilvl="2" w:tentative="1">
      <w:start w:val="1"/>
      <w:numFmt w:val="bullet"/>
      <w:lvlText w:val=""/>
      <w:lvlJc w:val="left"/>
      <w:pPr>
        <w:tabs>
          <w:tab w:val="num" w:pos="2160"/>
        </w:tabs>
        <w:ind w:left="2160" w:hanging="360"/>
      </w:pPr>
      <w:rPr>
        <w:rFonts w:ascii="Symbol" w:hAnsi="Symbol" w:hint="default" w:eastAsia="Symbol"/>
        <w:sz w:val="20"/>
      </w:rPr>
    </w:lvl>
    <w:lvl w:ilvl="3" w:tentative="1">
      <w:start w:val="1"/>
      <w:numFmt w:val="bullet"/>
      <w:lvlText w:val=""/>
      <w:lvlJc w:val="left"/>
      <w:pPr>
        <w:tabs>
          <w:tab w:val="num" w:pos="2880"/>
        </w:tabs>
        <w:ind w:left="2880" w:hanging="360"/>
      </w:pPr>
      <w:rPr>
        <w:rFonts w:ascii="Symbol" w:hAnsi="Symbol" w:hint="default" w:eastAsia="Symbol"/>
        <w:sz w:val="20"/>
      </w:rPr>
    </w:lvl>
    <w:lvl w:ilvl="4" w:tentative="1">
      <w:start w:val="1"/>
      <w:numFmt w:val="bullet"/>
      <w:lvlText w:val=""/>
      <w:lvlJc w:val="left"/>
      <w:pPr>
        <w:tabs>
          <w:tab w:val="num" w:pos="3600"/>
        </w:tabs>
        <w:ind w:left="3600" w:hanging="360"/>
      </w:pPr>
      <w:rPr>
        <w:rFonts w:ascii="Symbol" w:hAnsi="Symbol" w:hint="default" w:eastAsia="Symbol"/>
        <w:sz w:val="20"/>
      </w:rPr>
    </w:lvl>
    <w:lvl w:ilvl="5" w:tentative="1">
      <w:start w:val="1"/>
      <w:numFmt w:val="bullet"/>
      <w:lvlText w:val=""/>
      <w:lvlJc w:val="left"/>
      <w:pPr>
        <w:tabs>
          <w:tab w:val="num" w:pos="4320"/>
        </w:tabs>
        <w:ind w:left="4320" w:hanging="360"/>
      </w:pPr>
      <w:rPr>
        <w:rFonts w:ascii="Symbol" w:hAnsi="Symbol" w:hint="default" w:eastAsia="Symbol"/>
        <w:sz w:val="20"/>
      </w:rPr>
    </w:lvl>
    <w:lvl w:ilvl="6" w:tentative="1">
      <w:start w:val="1"/>
      <w:numFmt w:val="bullet"/>
      <w:lvlText w:val=""/>
      <w:lvlJc w:val="left"/>
      <w:pPr>
        <w:tabs>
          <w:tab w:val="num" w:pos="5040"/>
        </w:tabs>
        <w:ind w:left="5040" w:hanging="360"/>
      </w:pPr>
      <w:rPr>
        <w:rFonts w:ascii="Symbol" w:hAnsi="Symbol" w:hint="default" w:eastAsia="Symbol"/>
        <w:sz w:val="20"/>
      </w:rPr>
    </w:lvl>
    <w:lvl w:ilvl="7" w:tentative="1">
      <w:start w:val="1"/>
      <w:numFmt w:val="bullet"/>
      <w:lvlText w:val=""/>
      <w:lvlJc w:val="left"/>
      <w:pPr>
        <w:tabs>
          <w:tab w:val="num" w:pos="5760"/>
        </w:tabs>
        <w:ind w:left="5760" w:hanging="360"/>
      </w:pPr>
      <w:rPr>
        <w:rFonts w:ascii="Symbol" w:hAnsi="Symbol" w:hint="default" w:eastAsia="Symbol"/>
        <w:sz w:val="20"/>
      </w:rPr>
    </w:lvl>
    <w:lvl w:ilvl="8" w:tentative="1">
      <w:start w:val="1"/>
      <w:numFmt w:val="bullet"/>
      <w:lvlText w:val=""/>
      <w:lvlJc w:val="left"/>
      <w:pPr>
        <w:tabs>
          <w:tab w:val="num" w:pos="6480"/>
        </w:tabs>
        <w:ind w:left="6480" w:hanging="360"/>
      </w:pPr>
      <w:rPr>
        <w:rFonts w:ascii="Symbol" w:hAnsi="Symbol" w:hint="default" w:eastAsia="Symbol"/>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eastAsia="Symbol"/>
        <w:sz w:val="20"/>
      </w:rPr>
    </w:lvl>
    <w:lvl w:ilvl="1" w:tentative="1">
      <w:start w:val="1"/>
      <w:numFmt w:val="bullet"/>
      <w:lvlText w:val=""/>
      <w:lvlJc w:val="left"/>
      <w:pPr>
        <w:tabs>
          <w:tab w:val="num" w:pos="1440"/>
        </w:tabs>
        <w:ind w:left="1440" w:hanging="360"/>
      </w:pPr>
      <w:rPr>
        <w:rFonts w:ascii="Symbol" w:hAnsi="Symbol" w:hint="default" w:eastAsia="Symbol"/>
        <w:sz w:val="20"/>
      </w:rPr>
    </w:lvl>
    <w:lvl w:ilvl="2" w:tentative="1">
      <w:start w:val="1"/>
      <w:numFmt w:val="bullet"/>
      <w:lvlText w:val=""/>
      <w:lvlJc w:val="left"/>
      <w:pPr>
        <w:tabs>
          <w:tab w:val="num" w:pos="2160"/>
        </w:tabs>
        <w:ind w:left="2160" w:hanging="360"/>
      </w:pPr>
      <w:rPr>
        <w:rFonts w:ascii="Symbol" w:hAnsi="Symbol" w:hint="default" w:eastAsia="Symbol"/>
        <w:sz w:val="20"/>
      </w:rPr>
    </w:lvl>
    <w:lvl w:ilvl="3" w:tentative="1">
      <w:start w:val="1"/>
      <w:numFmt w:val="bullet"/>
      <w:lvlText w:val=""/>
      <w:lvlJc w:val="left"/>
      <w:pPr>
        <w:tabs>
          <w:tab w:val="num" w:pos="2880"/>
        </w:tabs>
        <w:ind w:left="2880" w:hanging="360"/>
      </w:pPr>
      <w:rPr>
        <w:rFonts w:ascii="Symbol" w:hAnsi="Symbol" w:hint="default" w:eastAsia="Symbol"/>
        <w:sz w:val="20"/>
      </w:rPr>
    </w:lvl>
    <w:lvl w:ilvl="4" w:tentative="1">
      <w:start w:val="1"/>
      <w:numFmt w:val="bullet"/>
      <w:lvlText w:val=""/>
      <w:lvlJc w:val="left"/>
      <w:pPr>
        <w:tabs>
          <w:tab w:val="num" w:pos="3600"/>
        </w:tabs>
        <w:ind w:left="3600" w:hanging="360"/>
      </w:pPr>
      <w:rPr>
        <w:rFonts w:ascii="Symbol" w:hAnsi="Symbol" w:hint="default" w:eastAsia="Symbol"/>
        <w:sz w:val="20"/>
      </w:rPr>
    </w:lvl>
    <w:lvl w:ilvl="5" w:tentative="1">
      <w:start w:val="1"/>
      <w:numFmt w:val="bullet"/>
      <w:lvlText w:val=""/>
      <w:lvlJc w:val="left"/>
      <w:pPr>
        <w:tabs>
          <w:tab w:val="num" w:pos="4320"/>
        </w:tabs>
        <w:ind w:left="4320" w:hanging="360"/>
      </w:pPr>
      <w:rPr>
        <w:rFonts w:ascii="Symbol" w:hAnsi="Symbol" w:hint="default" w:eastAsia="Symbol"/>
        <w:sz w:val="20"/>
      </w:rPr>
    </w:lvl>
    <w:lvl w:ilvl="6" w:tentative="1">
      <w:start w:val="1"/>
      <w:numFmt w:val="bullet"/>
      <w:lvlText w:val=""/>
      <w:lvlJc w:val="left"/>
      <w:pPr>
        <w:tabs>
          <w:tab w:val="num" w:pos="5040"/>
        </w:tabs>
        <w:ind w:left="5040" w:hanging="360"/>
      </w:pPr>
      <w:rPr>
        <w:rFonts w:ascii="Symbol" w:hAnsi="Symbol" w:hint="default" w:eastAsia="Symbol"/>
        <w:sz w:val="20"/>
      </w:rPr>
    </w:lvl>
    <w:lvl w:ilvl="7" w:tentative="1">
      <w:start w:val="1"/>
      <w:numFmt w:val="bullet"/>
      <w:lvlText w:val=""/>
      <w:lvlJc w:val="left"/>
      <w:pPr>
        <w:tabs>
          <w:tab w:val="num" w:pos="5760"/>
        </w:tabs>
        <w:ind w:left="5760" w:hanging="360"/>
      </w:pPr>
      <w:rPr>
        <w:rFonts w:ascii="Symbol" w:hAnsi="Symbol" w:hint="default" w:eastAsia="Symbol"/>
        <w:sz w:val="20"/>
      </w:rPr>
    </w:lvl>
    <w:lvl w:ilvl="8" w:tentative="1">
      <w:start w:val="1"/>
      <w:numFmt w:val="bullet"/>
      <w:lvlText w:val=""/>
      <w:lvlJc w:val="left"/>
      <w:pPr>
        <w:tabs>
          <w:tab w:val="num" w:pos="6480"/>
        </w:tabs>
        <w:ind w:left="6480" w:hanging="360"/>
      </w:pPr>
      <w:rPr>
        <w:rFonts w:ascii="Symbol" w:hAnsi="Symbol" w:hint="default" w:eastAsia="Symbol"/>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Aptos Display"/>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Aptos"/>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